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both"/>
        <w:rPr/>
      </w:pPr>
      <w:r>
        <w:rPr>
          <w:rStyle w:val="Style14"/>
          <w:color w:val="000000"/>
        </w:rPr>
        <w:t> </w:t>
      </w:r>
    </w:p>
    <w:p>
      <w:pPr>
        <w:pStyle w:val="Style15"/>
        <w:widowControl/>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r>
    </w:p>
    <w:p>
      <w:pPr>
        <w:pStyle w:val="Style15"/>
        <w:widowControl/>
        <w:jc w:val="center"/>
        <w:textAlignment w:val="auto"/>
        <w:rPr/>
      </w:pPr>
      <w:r>
        <w:rPr>
          <w:rStyle w:val="Style14"/>
          <w:rFonts w:eastAsia="Times New Roman" w:cs="Times New Roman"/>
          <w:b/>
          <w:kern w:val="0"/>
          <w:sz w:val="20"/>
          <w:szCs w:val="20"/>
          <w:lang w:eastAsia="ar-SA" w:bidi="ar-SA"/>
        </w:rPr>
        <w:t>РЕКОМЕНДАЦИИ</w:t>
      </w:r>
    </w:p>
    <w:p>
      <w:pPr>
        <w:pStyle w:val="Style15"/>
        <w:widowControl/>
        <w:jc w:val="center"/>
        <w:textAlignment w:val="auto"/>
        <w:rPr/>
      </w:pPr>
      <w:r>
        <w:rPr>
          <w:rStyle w:val="Style14"/>
          <w:rFonts w:eastAsia="Times New Roman" w:cs="Times New Roman"/>
          <w:b/>
          <w:kern w:val="0"/>
          <w:sz w:val="20"/>
          <w:szCs w:val="20"/>
          <w:lang w:eastAsia="ar-SA" w:bidi="ar-SA"/>
        </w:rPr>
        <w:t>Совета директоров по выплате дивидендов по обыкновенным акциям</w:t>
      </w:r>
    </w:p>
    <w:p>
      <w:pPr>
        <w:pStyle w:val="Style15"/>
        <w:widowControl/>
        <w:jc w:val="center"/>
        <w:textAlignment w:val="auto"/>
        <w:rPr/>
      </w:pPr>
      <w:r>
        <w:rPr>
          <w:rStyle w:val="Style14"/>
          <w:rFonts w:eastAsia="Times New Roman" w:cs="Times New Roman"/>
          <w:b/>
          <w:kern w:val="0"/>
          <w:sz w:val="20"/>
          <w:szCs w:val="20"/>
          <w:lang w:eastAsia="ar-SA" w:bidi="ar-SA"/>
        </w:rPr>
        <w:t>Акционерного общества «Хлебозавод»</w:t>
      </w:r>
    </w:p>
    <w:p>
      <w:pPr>
        <w:pStyle w:val="Style15"/>
        <w:widowControl/>
        <w:jc w:val="right"/>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r>
    </w:p>
    <w:p>
      <w:pPr>
        <w:pStyle w:val="Style15"/>
        <w:widowControl/>
        <w:jc w:val="right"/>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r>
    </w:p>
    <w:p>
      <w:pPr>
        <w:pStyle w:val="Style15"/>
        <w:widowControl/>
        <w:spacing w:lineRule="atLeast" w:line="200"/>
        <w:ind w:firstLine="575"/>
        <w:jc w:val="both"/>
        <w:textAlignment w:val="auto"/>
        <w:rPr>
          <w:rFonts w:eastAsia="Times New Roman" w:cs="Times New Roman"/>
          <w:b/>
          <w:b/>
          <w:bCs/>
          <w:color w:val="000000"/>
          <w:kern w:val="0"/>
          <w:sz w:val="20"/>
          <w:szCs w:val="20"/>
          <w:lang w:eastAsia="ar-SA" w:bidi="ar-SA"/>
        </w:rPr>
      </w:pPr>
      <w:r>
        <w:rPr>
          <w:rFonts w:eastAsia="Times New Roman" w:cs="Times New Roman"/>
          <w:b/>
          <w:bCs/>
          <w:color w:val="000000"/>
          <w:kern w:val="0"/>
          <w:sz w:val="20"/>
          <w:szCs w:val="20"/>
          <w:lang w:eastAsia="ar-SA" w:bidi="ar-SA"/>
        </w:rPr>
      </w:r>
    </w:p>
    <w:p>
      <w:pPr>
        <w:pStyle w:val="Style15"/>
        <w:widowControl/>
        <w:spacing w:lineRule="atLeast" w:line="200"/>
        <w:ind w:firstLine="575"/>
        <w:jc w:val="both"/>
        <w:textAlignment w:val="auto"/>
        <w:rPr>
          <w:rFonts w:eastAsia="Times New Roman" w:cs="Times New Roman"/>
          <w:b/>
          <w:b/>
          <w:bCs/>
          <w:color w:val="000000"/>
          <w:kern w:val="0"/>
          <w:sz w:val="20"/>
          <w:szCs w:val="20"/>
          <w:lang w:eastAsia="ar-SA" w:bidi="ar-SA"/>
        </w:rPr>
      </w:pPr>
      <w:r>
        <w:rPr>
          <w:rFonts w:eastAsia="Times New Roman" w:cs="Times New Roman"/>
          <w:b/>
          <w:bCs/>
          <w:color w:val="000000"/>
          <w:kern w:val="0"/>
          <w:sz w:val="20"/>
          <w:szCs w:val="20"/>
          <w:lang w:eastAsia="ar-SA" w:bidi="ar-SA"/>
        </w:rPr>
      </w:r>
    </w:p>
    <w:p>
      <w:pPr>
        <w:pStyle w:val="Style15"/>
        <w:widowControl/>
        <w:spacing w:lineRule="atLeast" w:line="200"/>
        <w:ind w:firstLine="575"/>
        <w:jc w:val="both"/>
        <w:textAlignment w:val="auto"/>
        <w:rPr/>
      </w:pPr>
      <w:r>
        <w:rPr>
          <w:rStyle w:val="Style14"/>
          <w:rFonts w:eastAsia="Times New Roman" w:cs="Times New Roman"/>
          <w:color w:val="000000"/>
          <w:kern w:val="0"/>
          <w:sz w:val="20"/>
          <w:szCs w:val="20"/>
          <w:lang w:eastAsia="ar-SA" w:bidi="ar-SA"/>
        </w:rPr>
        <w:t>Рассмотрев результаты работы Общества за 2020 год, в том числе возможность распределения прибыли (в том числе выплату дивидендов), Совет директоров Общества рекомендует Общему собранию акционеров прибыль по результатам отчетного 2020 г. не распределять, дивиденды по результатам отчетного 2020 года не выплачивать.</w:t>
      </w:r>
    </w:p>
    <w:p>
      <w:pPr>
        <w:pStyle w:val="Style15"/>
        <w:widowControl/>
        <w:spacing w:lineRule="atLeast" w:line="200"/>
        <w:ind w:firstLine="575"/>
        <w:jc w:val="both"/>
        <w:textAlignment w:val="auto"/>
        <w:rPr>
          <w:rFonts w:eastAsia="Times New Roman" w:cs="Times New Roman"/>
          <w:color w:val="000000"/>
          <w:kern w:val="0"/>
          <w:sz w:val="20"/>
          <w:szCs w:val="20"/>
          <w:lang w:eastAsia="ar-SA" w:bidi="ar-SA"/>
        </w:rPr>
      </w:pPr>
      <w:r>
        <w:rPr>
          <w:rFonts w:eastAsia="Times New Roman" w:cs="Times New Roman"/>
          <w:color w:val="000000"/>
          <w:kern w:val="0"/>
          <w:sz w:val="20"/>
          <w:szCs w:val="20"/>
          <w:lang w:eastAsia="ar-SA" w:bidi="ar-SA"/>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8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16">
    <w:name w:val="Заголовок"/>
    <w:basedOn w:val="Normal"/>
    <w:next w:val="Style17"/>
    <w:qFormat/>
    <w:pPr>
      <w:keepNext w:val="true"/>
      <w:suppressAutoHyphens w:val="true"/>
      <w:spacing w:before="240" w:after="120"/>
    </w:pPr>
    <w:rPr>
      <w:rFonts w:ascii="Arial" w:hAnsi="Arial" w:eastAsia="Microsoft YaHei"/>
      <w:sz w:val="28"/>
      <w:szCs w:val="28"/>
    </w:rPr>
  </w:style>
  <w:style w:type="paragraph" w:styleId="Style17">
    <w:name w:val="Body Text"/>
    <w:basedOn w:val="Normal"/>
    <w:pPr>
      <w:suppressAutoHyphens w:val="true"/>
      <w:spacing w:before="0" w:after="120"/>
    </w:pPr>
    <w:rPr/>
  </w:style>
  <w:style w:type="paragraph" w:styleId="Style18">
    <w:name w:val="List"/>
    <w:basedOn w:val="Style17"/>
    <w:pPr>
      <w:suppressAutoHyphens w:val="true"/>
    </w:pPr>
    <w:rPr/>
  </w:style>
  <w:style w:type="paragraph" w:styleId="Style19">
    <w:name w:val="Название объекта"/>
    <w:basedOn w:val="Normal"/>
    <w:qFormat/>
    <w:pPr>
      <w:suppressLineNumbers/>
      <w:suppressAutoHyphens w:val="true"/>
      <w:spacing w:before="120" w:after="120"/>
    </w:pPr>
    <w:rPr>
      <w:i/>
      <w:iCs/>
    </w:rPr>
  </w:style>
  <w:style w:type="paragraph" w:styleId="Style20">
    <w:name w:val="Указатель"/>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LibreOffice/6.0.5.2$Windows_X86_64 LibreOffice_project/54c8cbb85f300ac59db32fe8a675ff7683cd5a16</Application>
  <Pages>1</Pages>
  <Words>64</Words>
  <Characters>371</Characters>
  <CharactersWithSpaces>434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2021-04-22T11:16:00Z</dcterms:created>
  <dc:creator/>
  <dc:description/>
  <dc:language>ru-RU</dc:language>
  <cp:lastModifiedBy>Елена Надеина</cp:lastModifiedBy>
  <dcterms:modified xsi:type="dcterms:W3CDTF">2021-04-27T10:22:00Z</dcterms:modified>
  <cp:revision>2</cp:revision>
  <dc:subject/>
  <dc:title/>
</cp:coreProperties>
</file>